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2E" w:rsidRPr="0001342E" w:rsidRDefault="0001342E" w:rsidP="0001342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01342E">
        <w:rPr>
          <w:rFonts w:ascii="Times New Roman" w:eastAsia="Times New Roman" w:hAnsi="Times New Roman" w:cs="Times New Roman"/>
          <w:b/>
          <w:bCs/>
          <w:kern w:val="36"/>
          <w:sz w:val="48"/>
          <w:szCs w:val="48"/>
          <w:lang w:eastAsia="it-IT"/>
        </w:rPr>
        <w:t>Regime agevolato ex legge 398/1991: come funziona?</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Scritto da </w:t>
      </w:r>
      <w:hyperlink r:id="rId6" w:tooltip="Articoli scritti da: Manila Antomarioni" w:history="1">
        <w:r w:rsidRPr="0001342E">
          <w:rPr>
            <w:rFonts w:ascii="Times New Roman" w:eastAsia="Times New Roman" w:hAnsi="Times New Roman" w:cs="Times New Roman"/>
            <w:color w:val="0000FF"/>
            <w:sz w:val="24"/>
            <w:szCs w:val="24"/>
            <w:u w:val="single"/>
            <w:lang w:eastAsia="it-IT"/>
          </w:rPr>
          <w:t xml:space="preserve">Manila </w:t>
        </w:r>
        <w:proofErr w:type="spellStart"/>
        <w:r w:rsidRPr="0001342E">
          <w:rPr>
            <w:rFonts w:ascii="Times New Roman" w:eastAsia="Times New Roman" w:hAnsi="Times New Roman" w:cs="Times New Roman"/>
            <w:color w:val="0000FF"/>
            <w:sz w:val="24"/>
            <w:szCs w:val="24"/>
            <w:u w:val="single"/>
            <w:lang w:eastAsia="it-IT"/>
          </w:rPr>
          <w:t>Antomarioni</w:t>
        </w:r>
        <w:proofErr w:type="spellEnd"/>
      </w:hyperlink>
      <w:r w:rsidRPr="0001342E">
        <w:rPr>
          <w:rFonts w:ascii="Times New Roman" w:eastAsia="Times New Roman" w:hAnsi="Times New Roman" w:cs="Times New Roman"/>
          <w:sz w:val="24"/>
          <w:szCs w:val="24"/>
          <w:lang w:eastAsia="it-IT"/>
        </w:rPr>
        <w:t xml:space="preserve"> in </w:t>
      </w:r>
      <w:hyperlink r:id="rId7" w:tooltip="Visualizza tutti gli articoli in Amministrazione e Fisco" w:history="1">
        <w:r w:rsidRPr="0001342E">
          <w:rPr>
            <w:rFonts w:ascii="Times New Roman" w:eastAsia="Times New Roman" w:hAnsi="Times New Roman" w:cs="Times New Roman"/>
            <w:color w:val="0000FF"/>
            <w:sz w:val="24"/>
            <w:szCs w:val="24"/>
            <w:u w:val="single"/>
            <w:lang w:eastAsia="it-IT"/>
          </w:rPr>
          <w:t>Amministrazione e Fisco</w:t>
        </w:r>
      </w:hyperlink>
    </w:p>
    <w:p w:rsidR="0001342E" w:rsidRPr="0001342E" w:rsidRDefault="0001342E" w:rsidP="0001342E">
      <w:pPr>
        <w:spacing w:after="0"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21 </w:t>
      </w:r>
      <w:proofErr w:type="spellStart"/>
      <w:r w:rsidRPr="0001342E">
        <w:rPr>
          <w:rFonts w:ascii="Times New Roman" w:eastAsia="Times New Roman" w:hAnsi="Times New Roman" w:cs="Times New Roman"/>
          <w:sz w:val="24"/>
          <w:szCs w:val="24"/>
          <w:lang w:eastAsia="it-IT"/>
        </w:rPr>
        <w:t>giu</w:t>
      </w:r>
      <w:proofErr w:type="spellEnd"/>
      <w:r w:rsidRPr="0001342E">
        <w:rPr>
          <w:rFonts w:ascii="Times New Roman" w:eastAsia="Times New Roman" w:hAnsi="Times New Roman" w:cs="Times New Roman"/>
          <w:sz w:val="24"/>
          <w:szCs w:val="24"/>
          <w:lang w:eastAsia="it-IT"/>
        </w:rPr>
        <w:t xml:space="preserve"> , 13 </w:t>
      </w:r>
      <w:r w:rsidRPr="0001342E">
        <w:rPr>
          <w:rFonts w:ascii="Times New Roman" w:eastAsia="Times New Roman" w:hAnsi="Times New Roman" w:cs="Times New Roman"/>
          <w:noProof/>
          <w:sz w:val="24"/>
          <w:szCs w:val="24"/>
          <w:lang w:eastAsia="it-IT"/>
        </w:rPr>
        <w:drawing>
          <wp:inline distT="0" distB="0" distL="0" distR="0" wp14:anchorId="7FD5B7D0" wp14:editId="44F994B5">
            <wp:extent cx="2266950" cy="1714500"/>
            <wp:effectExtent l="0" t="0" r="0" b="0"/>
            <wp:docPr id="1" name="Immagine 1" descr="Regime agevolato ex legge 398/1991: come funzi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me agevolato ex legge 398/1991: come funzi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714500"/>
                    </a:xfrm>
                    <a:prstGeom prst="rect">
                      <a:avLst/>
                    </a:prstGeom>
                    <a:noFill/>
                    <a:ln>
                      <a:noFill/>
                    </a:ln>
                  </pic:spPr>
                </pic:pic>
              </a:graphicData>
            </a:graphic>
          </wp:inline>
        </w:drawing>
      </w:r>
    </w:p>
    <w:p w:rsidR="0001342E" w:rsidRPr="0001342E" w:rsidRDefault="0001342E" w:rsidP="0001342E">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01342E">
        <w:rPr>
          <w:rFonts w:ascii="Times New Roman" w:eastAsia="Times New Roman" w:hAnsi="Times New Roman" w:cs="Times New Roman"/>
          <w:b/>
          <w:bCs/>
          <w:sz w:val="20"/>
          <w:szCs w:val="20"/>
          <w:lang w:eastAsia="it-IT"/>
        </w:rPr>
        <w:t>Chi può applicare il regime agevolato previsto dalla legge n. 391/1991?</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L’introduzione delle legge n. 398 del 1991 ha apportato importanti novità nel panorama normativo del terzo settore, a favore di quegli enti che, accanto all’attività istituzionale intendono svolgere anche una attività di natura commerciale.</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Le categorie di enti non profit che possono beneficiare delle agevolazioni introdotte dalla legge in esame sono:</w:t>
      </w:r>
    </w:p>
    <w:p w:rsidR="0001342E" w:rsidRPr="0001342E" w:rsidRDefault="0001342E" w:rsidP="00013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Associazioni sportive dilettantistiche iscritte al Coni </w:t>
      </w:r>
    </w:p>
    <w:p w:rsidR="0001342E" w:rsidRPr="0001342E" w:rsidRDefault="0001342E" w:rsidP="00013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b/>
          <w:bCs/>
          <w:sz w:val="24"/>
          <w:szCs w:val="24"/>
          <w:lang w:eastAsia="it-IT"/>
        </w:rPr>
        <w:t>tutte le associazioni senza scopo di lucro</w:t>
      </w:r>
      <w:r w:rsidRPr="0001342E">
        <w:rPr>
          <w:rFonts w:ascii="Times New Roman" w:eastAsia="Times New Roman" w:hAnsi="Times New Roman" w:cs="Times New Roman"/>
          <w:sz w:val="24"/>
          <w:szCs w:val="24"/>
          <w:lang w:eastAsia="it-IT"/>
        </w:rPr>
        <w:t xml:space="preserve"> e </w:t>
      </w:r>
      <w:r w:rsidRPr="0001342E">
        <w:rPr>
          <w:rFonts w:ascii="Times New Roman" w:eastAsia="Times New Roman" w:hAnsi="Times New Roman" w:cs="Times New Roman"/>
          <w:b/>
          <w:bCs/>
          <w:sz w:val="24"/>
          <w:szCs w:val="24"/>
          <w:lang w:eastAsia="it-IT"/>
        </w:rPr>
        <w:t>pro-loco</w:t>
      </w:r>
      <w:r w:rsidRPr="0001342E">
        <w:rPr>
          <w:rFonts w:ascii="Times New Roman" w:eastAsia="Times New Roman" w:hAnsi="Times New Roman" w:cs="Times New Roman"/>
          <w:sz w:val="24"/>
          <w:szCs w:val="24"/>
          <w:lang w:eastAsia="it-IT"/>
        </w:rPr>
        <w:t xml:space="preserve"> (a seguito dell’introduzione dell’art. 9-bis del D.L. n. 471/1992, convertito in Legge n. 66 del 6/2/1992); </w:t>
      </w:r>
    </w:p>
    <w:p w:rsidR="0001342E" w:rsidRPr="0001342E" w:rsidRDefault="0001342E" w:rsidP="00013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b/>
          <w:bCs/>
          <w:sz w:val="24"/>
          <w:szCs w:val="24"/>
          <w:lang w:eastAsia="it-IT"/>
        </w:rPr>
        <w:t>società sportive dilettantistiche</w:t>
      </w:r>
      <w:r w:rsidRPr="0001342E">
        <w:rPr>
          <w:rFonts w:ascii="Times New Roman" w:eastAsia="Times New Roman" w:hAnsi="Times New Roman" w:cs="Times New Roman"/>
          <w:sz w:val="24"/>
          <w:szCs w:val="24"/>
          <w:lang w:eastAsia="it-IT"/>
        </w:rPr>
        <w:t xml:space="preserve">, in qualunque forma costituite (art. 90 legge 289/2002); </w:t>
      </w:r>
    </w:p>
    <w:p w:rsidR="0001342E" w:rsidRPr="0001342E" w:rsidRDefault="0001342E" w:rsidP="00013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b/>
          <w:bCs/>
          <w:sz w:val="24"/>
          <w:szCs w:val="24"/>
          <w:lang w:eastAsia="it-IT"/>
        </w:rPr>
        <w:t>associazioni bandistiche</w:t>
      </w:r>
      <w:r w:rsidRPr="0001342E">
        <w:rPr>
          <w:rFonts w:ascii="Times New Roman" w:eastAsia="Times New Roman" w:hAnsi="Times New Roman" w:cs="Times New Roman"/>
          <w:sz w:val="24"/>
          <w:szCs w:val="24"/>
          <w:lang w:eastAsia="it-IT"/>
        </w:rPr>
        <w:t xml:space="preserve"> e ai </w:t>
      </w:r>
      <w:r w:rsidRPr="0001342E">
        <w:rPr>
          <w:rFonts w:ascii="Times New Roman" w:eastAsia="Times New Roman" w:hAnsi="Times New Roman" w:cs="Times New Roman"/>
          <w:b/>
          <w:bCs/>
          <w:sz w:val="24"/>
          <w:szCs w:val="24"/>
          <w:lang w:eastAsia="it-IT"/>
        </w:rPr>
        <w:t>cori amatoriali</w:t>
      </w:r>
      <w:r w:rsidRPr="0001342E">
        <w:rPr>
          <w:rFonts w:ascii="Times New Roman" w:eastAsia="Times New Roman" w:hAnsi="Times New Roman" w:cs="Times New Roman"/>
          <w:sz w:val="24"/>
          <w:szCs w:val="24"/>
          <w:lang w:eastAsia="it-IT"/>
        </w:rPr>
        <w:t xml:space="preserve">, alle </w:t>
      </w:r>
      <w:r w:rsidRPr="0001342E">
        <w:rPr>
          <w:rFonts w:ascii="Times New Roman" w:eastAsia="Times New Roman" w:hAnsi="Times New Roman" w:cs="Times New Roman"/>
          <w:b/>
          <w:bCs/>
          <w:sz w:val="24"/>
          <w:szCs w:val="24"/>
          <w:lang w:eastAsia="it-IT"/>
        </w:rPr>
        <w:t>filodrammatiche</w:t>
      </w:r>
      <w:r w:rsidRPr="0001342E">
        <w:rPr>
          <w:rFonts w:ascii="Times New Roman" w:eastAsia="Times New Roman" w:hAnsi="Times New Roman" w:cs="Times New Roman"/>
          <w:sz w:val="24"/>
          <w:szCs w:val="24"/>
          <w:lang w:eastAsia="it-IT"/>
        </w:rPr>
        <w:t xml:space="preserve">, di musica e danza popolare (art. 2 comma 31 legge n. 350 del 24/12/2003). </w:t>
      </w:r>
    </w:p>
    <w:p w:rsidR="0001342E" w:rsidRPr="0001342E" w:rsidRDefault="0001342E" w:rsidP="0001342E">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01342E">
        <w:rPr>
          <w:rFonts w:ascii="Times New Roman" w:eastAsia="Times New Roman" w:hAnsi="Times New Roman" w:cs="Times New Roman"/>
          <w:b/>
          <w:bCs/>
          <w:sz w:val="20"/>
          <w:szCs w:val="20"/>
          <w:lang w:eastAsia="it-IT"/>
        </w:rPr>
        <w:t>Quali requisiti sono necessari per l’accesso al regime?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5"/>
        <w:gridCol w:w="4005"/>
      </w:tblGrid>
      <w:tr w:rsidR="0001342E" w:rsidRPr="0001342E" w:rsidTr="0001342E">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01342E" w:rsidRPr="0001342E" w:rsidRDefault="0001342E" w:rsidP="0001342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Requisiti soggettivi</w:t>
            </w:r>
          </w:p>
        </w:tc>
        <w:tc>
          <w:tcPr>
            <w:tcW w:w="4005" w:type="dxa"/>
            <w:tcBorders>
              <w:top w:val="outset" w:sz="6" w:space="0" w:color="auto"/>
              <w:left w:val="outset" w:sz="6" w:space="0" w:color="auto"/>
              <w:bottom w:val="outset" w:sz="6" w:space="0" w:color="auto"/>
              <w:right w:val="outset" w:sz="6" w:space="0" w:color="auto"/>
            </w:tcBorders>
            <w:hideMark/>
          </w:tcPr>
          <w:p w:rsidR="0001342E" w:rsidRPr="0001342E" w:rsidRDefault="0001342E" w:rsidP="0001342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Requisiti oggettivi</w:t>
            </w:r>
          </w:p>
        </w:tc>
      </w:tr>
      <w:tr w:rsidR="0001342E" w:rsidRPr="0001342E" w:rsidTr="0001342E">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01342E" w:rsidRPr="0001342E" w:rsidRDefault="0001342E" w:rsidP="0001342E">
            <w:pPr>
              <w:spacing w:after="0"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Hanno accesso al regime 398/91 gli enti associativi che contemporaneamente: </w:t>
            </w:r>
          </w:p>
          <w:p w:rsidR="0001342E" w:rsidRPr="0001342E" w:rsidRDefault="0001342E" w:rsidP="00013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Non perseguono finalità di lucro nello svolgimento dell’attività istituzionale; </w:t>
            </w:r>
          </w:p>
          <w:p w:rsidR="0001342E" w:rsidRPr="0001342E" w:rsidRDefault="0001342E" w:rsidP="00013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Svolgono un’attività sportiva riconosciuta dal Coni (dunque risultano iscritte nel relativo registro) e sono affiliate ad una Federazione Sportiva Nazionale o ad un Ente di Promozione Sportiva riconosciuti dal Coni (se trattasi di associazioni o società </w:t>
            </w:r>
            <w:r w:rsidRPr="0001342E">
              <w:rPr>
                <w:rFonts w:ascii="Times New Roman" w:eastAsia="Times New Roman" w:hAnsi="Times New Roman" w:cs="Times New Roman"/>
                <w:sz w:val="24"/>
                <w:szCs w:val="24"/>
                <w:lang w:eastAsia="it-IT"/>
              </w:rPr>
              <w:lastRenderedPageBreak/>
              <w:t>sportive dilettantistiche).</w:t>
            </w:r>
            <w:r w:rsidRPr="0001342E">
              <w:rPr>
                <w:rFonts w:ascii="Times New Roman" w:eastAsia="Times New Roman" w:hAnsi="Times New Roman" w:cs="Times New Roman"/>
                <w:sz w:val="24"/>
                <w:szCs w:val="24"/>
                <w:u w:val="single"/>
                <w:lang w:eastAsia="it-IT"/>
              </w:rPr>
              <w:t xml:space="preserve"> </w:t>
            </w:r>
          </w:p>
        </w:tc>
        <w:tc>
          <w:tcPr>
            <w:tcW w:w="4005" w:type="dxa"/>
            <w:tcBorders>
              <w:top w:val="outset" w:sz="6" w:space="0" w:color="auto"/>
              <w:left w:val="outset" w:sz="6" w:space="0" w:color="auto"/>
              <w:bottom w:val="outset" w:sz="6" w:space="0" w:color="auto"/>
              <w:right w:val="outset" w:sz="6" w:space="0" w:color="auto"/>
            </w:tcBorders>
            <w:hideMark/>
          </w:tcPr>
          <w:p w:rsidR="0001342E" w:rsidRPr="0001342E" w:rsidRDefault="0001342E" w:rsidP="0001342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lastRenderedPageBreak/>
              <w:t xml:space="preserve">Proventi dell’anno precedente, derivanti dall’attività commerciale, non superiori a euro 250.000. </w:t>
            </w:r>
          </w:p>
        </w:tc>
      </w:tr>
    </w:tbl>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b/>
          <w:bCs/>
          <w:sz w:val="24"/>
          <w:szCs w:val="24"/>
          <w:lang w:eastAsia="it-IT"/>
        </w:rPr>
        <w:lastRenderedPageBreak/>
        <w:t>Per il primo periodo di imposta</w:t>
      </w:r>
      <w:r w:rsidRPr="0001342E">
        <w:rPr>
          <w:rFonts w:ascii="Times New Roman" w:eastAsia="Times New Roman" w:hAnsi="Times New Roman" w:cs="Times New Roman"/>
          <w:sz w:val="24"/>
          <w:szCs w:val="24"/>
          <w:lang w:eastAsia="it-IT"/>
        </w:rPr>
        <w:t xml:space="preserve">, che spesso risulta essere inferiore all’anno solare, l’Agenzia delle Entrate, con la </w:t>
      </w:r>
      <w:r w:rsidRPr="0001342E">
        <w:rPr>
          <w:rFonts w:ascii="Times New Roman" w:eastAsia="Times New Roman" w:hAnsi="Times New Roman" w:cs="Times New Roman"/>
          <w:b/>
          <w:bCs/>
          <w:sz w:val="24"/>
          <w:szCs w:val="24"/>
          <w:lang w:eastAsia="it-IT"/>
        </w:rPr>
        <w:t>Risoluzione n. 63/E del 16/5/2006</w:t>
      </w:r>
      <w:r w:rsidRPr="0001342E">
        <w:rPr>
          <w:rFonts w:ascii="Times New Roman" w:eastAsia="Times New Roman" w:hAnsi="Times New Roman" w:cs="Times New Roman"/>
          <w:sz w:val="24"/>
          <w:szCs w:val="24"/>
          <w:lang w:eastAsia="it-IT"/>
        </w:rPr>
        <w:t xml:space="preserve">, ha precisato </w:t>
      </w:r>
      <w:r w:rsidRPr="0001342E">
        <w:rPr>
          <w:rFonts w:ascii="Times New Roman" w:eastAsia="Times New Roman" w:hAnsi="Times New Roman" w:cs="Times New Roman"/>
          <w:b/>
          <w:bCs/>
          <w:sz w:val="24"/>
          <w:szCs w:val="24"/>
          <w:lang w:eastAsia="it-IT"/>
        </w:rPr>
        <w:t>che il limite di importo</w:t>
      </w:r>
      <w:r w:rsidRPr="0001342E">
        <w:rPr>
          <w:rFonts w:ascii="Times New Roman" w:eastAsia="Times New Roman" w:hAnsi="Times New Roman" w:cs="Times New Roman"/>
          <w:sz w:val="24"/>
          <w:szCs w:val="24"/>
          <w:lang w:eastAsia="it-IT"/>
        </w:rPr>
        <w:t xml:space="preserve"> cui fare riferimento per il mantenimento del regime agevolato </w:t>
      </w:r>
      <w:r w:rsidRPr="0001342E">
        <w:rPr>
          <w:rFonts w:ascii="Times New Roman" w:eastAsia="Times New Roman" w:hAnsi="Times New Roman" w:cs="Times New Roman"/>
          <w:b/>
          <w:bCs/>
          <w:sz w:val="24"/>
          <w:szCs w:val="24"/>
          <w:lang w:eastAsia="it-IT"/>
        </w:rPr>
        <w:t>deve essere</w:t>
      </w:r>
      <w:r w:rsidRPr="0001342E">
        <w:rPr>
          <w:rFonts w:ascii="Times New Roman" w:eastAsia="Times New Roman" w:hAnsi="Times New Roman" w:cs="Times New Roman"/>
          <w:sz w:val="24"/>
          <w:szCs w:val="24"/>
          <w:lang w:eastAsia="it-IT"/>
        </w:rPr>
        <w:t xml:space="preserve"> rapportato al periodo intercorrente tra la data di costituzione e la fine dell’esercizio, </w:t>
      </w:r>
      <w:r w:rsidRPr="0001342E">
        <w:rPr>
          <w:rFonts w:ascii="Times New Roman" w:eastAsia="Times New Roman" w:hAnsi="Times New Roman" w:cs="Times New Roman"/>
          <w:b/>
          <w:bCs/>
          <w:sz w:val="24"/>
          <w:szCs w:val="24"/>
          <w:lang w:eastAsia="it-IT"/>
        </w:rPr>
        <w:t>proporzionato ai giorni</w:t>
      </w:r>
      <w:r w:rsidRPr="0001342E">
        <w:rPr>
          <w:rFonts w:ascii="Times New Roman" w:eastAsia="Times New Roman" w:hAnsi="Times New Roman" w:cs="Times New Roman"/>
          <w:sz w:val="24"/>
          <w:szCs w:val="24"/>
          <w:lang w:eastAsia="it-IT"/>
        </w:rPr>
        <w:t>.</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Nel limite dei 250.000 euro devono essere computati:</w:t>
      </w:r>
    </w:p>
    <w:p w:rsidR="0001342E" w:rsidRPr="0001342E" w:rsidRDefault="0001342E" w:rsidP="0001342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I ricavi e proventi ex art. 85 del </w:t>
      </w:r>
      <w:proofErr w:type="spellStart"/>
      <w:r w:rsidRPr="0001342E">
        <w:rPr>
          <w:rFonts w:ascii="Times New Roman" w:eastAsia="Times New Roman" w:hAnsi="Times New Roman" w:cs="Times New Roman"/>
          <w:sz w:val="24"/>
          <w:szCs w:val="24"/>
          <w:lang w:eastAsia="it-IT"/>
        </w:rPr>
        <w:t>Tuir</w:t>
      </w:r>
      <w:proofErr w:type="spellEnd"/>
      <w:r w:rsidRPr="0001342E">
        <w:rPr>
          <w:rFonts w:ascii="Times New Roman" w:eastAsia="Times New Roman" w:hAnsi="Times New Roman" w:cs="Times New Roman"/>
          <w:sz w:val="24"/>
          <w:szCs w:val="24"/>
          <w:lang w:eastAsia="it-IT"/>
        </w:rPr>
        <w:t xml:space="preserve">, conseguiti nell’ambito dell’attività commerciale; </w:t>
      </w:r>
    </w:p>
    <w:p w:rsidR="0001342E" w:rsidRPr="0001342E" w:rsidRDefault="0001342E" w:rsidP="0001342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Le sopravvenienze attive ex art. 88 del </w:t>
      </w:r>
      <w:proofErr w:type="spellStart"/>
      <w:r w:rsidRPr="0001342E">
        <w:rPr>
          <w:rFonts w:ascii="Times New Roman" w:eastAsia="Times New Roman" w:hAnsi="Times New Roman" w:cs="Times New Roman"/>
          <w:sz w:val="24"/>
          <w:szCs w:val="24"/>
          <w:lang w:eastAsia="it-IT"/>
        </w:rPr>
        <w:t>Tuir</w:t>
      </w:r>
      <w:proofErr w:type="spellEnd"/>
      <w:r w:rsidRPr="0001342E">
        <w:rPr>
          <w:rFonts w:ascii="Times New Roman" w:eastAsia="Times New Roman" w:hAnsi="Times New Roman" w:cs="Times New Roman"/>
          <w:sz w:val="24"/>
          <w:szCs w:val="24"/>
          <w:lang w:eastAsia="it-IT"/>
        </w:rPr>
        <w:t xml:space="preserve"> relative all’attività commerciale. </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Restano, invece, </w:t>
      </w:r>
      <w:r w:rsidRPr="0001342E">
        <w:rPr>
          <w:rFonts w:ascii="Times New Roman" w:eastAsia="Times New Roman" w:hAnsi="Times New Roman" w:cs="Times New Roman"/>
          <w:b/>
          <w:bCs/>
          <w:sz w:val="24"/>
          <w:szCs w:val="24"/>
          <w:lang w:eastAsia="it-IT"/>
        </w:rPr>
        <w:t>esclusi</w:t>
      </w:r>
      <w:r w:rsidRPr="0001342E">
        <w:rPr>
          <w:rFonts w:ascii="Times New Roman" w:eastAsia="Times New Roman" w:hAnsi="Times New Roman" w:cs="Times New Roman"/>
          <w:sz w:val="24"/>
          <w:szCs w:val="24"/>
          <w:lang w:eastAsia="it-IT"/>
        </w:rPr>
        <w:t xml:space="preserve"> dal predetto limite:</w:t>
      </w:r>
    </w:p>
    <w:p w:rsidR="0001342E" w:rsidRPr="0001342E" w:rsidRDefault="0001342E" w:rsidP="0001342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I proventi conseguiti nello svolgimento delle attività connesse alle istituzionali; </w:t>
      </w:r>
    </w:p>
    <w:p w:rsidR="0001342E" w:rsidRPr="0001342E" w:rsidRDefault="0001342E" w:rsidP="0001342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I proventi da attività occasionali di raccolta fondi; </w:t>
      </w:r>
    </w:p>
    <w:p w:rsidR="0001342E" w:rsidRPr="0001342E" w:rsidRDefault="0001342E" w:rsidP="0001342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I proventi ex art. 143 c. 1 </w:t>
      </w:r>
      <w:proofErr w:type="spellStart"/>
      <w:r w:rsidRPr="0001342E">
        <w:rPr>
          <w:rFonts w:ascii="Times New Roman" w:eastAsia="Times New Roman" w:hAnsi="Times New Roman" w:cs="Times New Roman"/>
          <w:sz w:val="24"/>
          <w:szCs w:val="24"/>
          <w:lang w:eastAsia="it-IT"/>
        </w:rPr>
        <w:t>Tuir</w:t>
      </w:r>
      <w:proofErr w:type="spellEnd"/>
      <w:r w:rsidRPr="0001342E">
        <w:rPr>
          <w:rFonts w:ascii="Times New Roman" w:eastAsia="Times New Roman" w:hAnsi="Times New Roman" w:cs="Times New Roman"/>
          <w:sz w:val="24"/>
          <w:szCs w:val="24"/>
          <w:lang w:eastAsia="it-IT"/>
        </w:rPr>
        <w:t xml:space="preserve">; </w:t>
      </w:r>
    </w:p>
    <w:p w:rsidR="0001342E" w:rsidRPr="0001342E" w:rsidRDefault="0001342E" w:rsidP="0001342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I proventi di cui all’art. 148 c. 3 </w:t>
      </w:r>
      <w:proofErr w:type="spellStart"/>
      <w:r w:rsidRPr="0001342E">
        <w:rPr>
          <w:rFonts w:ascii="Times New Roman" w:eastAsia="Times New Roman" w:hAnsi="Times New Roman" w:cs="Times New Roman"/>
          <w:sz w:val="24"/>
          <w:szCs w:val="24"/>
          <w:lang w:eastAsia="it-IT"/>
        </w:rPr>
        <w:t>Tuir</w:t>
      </w:r>
      <w:proofErr w:type="spellEnd"/>
      <w:r w:rsidRPr="0001342E">
        <w:rPr>
          <w:rFonts w:ascii="Times New Roman" w:eastAsia="Times New Roman" w:hAnsi="Times New Roman" w:cs="Times New Roman"/>
          <w:sz w:val="24"/>
          <w:szCs w:val="24"/>
          <w:lang w:eastAsia="it-IT"/>
        </w:rPr>
        <w:t xml:space="preserve">. </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L’accesso al regime forfetario ex legge 398/91 avviene attraverso:</w:t>
      </w:r>
    </w:p>
    <w:p w:rsidR="0001342E" w:rsidRPr="0001342E" w:rsidRDefault="0001342E" w:rsidP="0001342E">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opzione che si esprime mediante comportamento concludente, da manifestarsi a inizio anno o dall’inizio dell’attività; </w:t>
      </w:r>
    </w:p>
    <w:p w:rsidR="0001342E" w:rsidRPr="0001342E" w:rsidRDefault="0001342E" w:rsidP="0001342E">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opzione nel quadro VO della dichiarazione iva, da accorpare al modello Unico dell’anno. </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Entro il 31/12 dell’anno precedente a quello di esercizio dell’opzione, la scelta deve essere comunicata alla </w:t>
      </w:r>
      <w:r w:rsidRPr="0001342E">
        <w:rPr>
          <w:rFonts w:ascii="Times New Roman" w:eastAsia="Times New Roman" w:hAnsi="Times New Roman" w:cs="Times New Roman"/>
          <w:b/>
          <w:bCs/>
          <w:sz w:val="24"/>
          <w:szCs w:val="24"/>
          <w:lang w:eastAsia="it-IT"/>
        </w:rPr>
        <w:t>SIAE</w:t>
      </w:r>
      <w:r w:rsidRPr="0001342E">
        <w:rPr>
          <w:rFonts w:ascii="Times New Roman" w:eastAsia="Times New Roman" w:hAnsi="Times New Roman" w:cs="Times New Roman"/>
          <w:sz w:val="24"/>
          <w:szCs w:val="24"/>
          <w:lang w:eastAsia="it-IT"/>
        </w:rPr>
        <w:t xml:space="preserve"> competente per territorio, ente che sarà poi deputato ai controlli.</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L’opzione è </w:t>
      </w:r>
      <w:r w:rsidRPr="0001342E">
        <w:rPr>
          <w:rFonts w:ascii="Times New Roman" w:eastAsia="Times New Roman" w:hAnsi="Times New Roman" w:cs="Times New Roman"/>
          <w:b/>
          <w:bCs/>
          <w:sz w:val="24"/>
          <w:szCs w:val="24"/>
          <w:lang w:eastAsia="it-IT"/>
        </w:rPr>
        <w:t>vincolante per almeno 5 anni</w:t>
      </w:r>
      <w:r w:rsidRPr="0001342E">
        <w:rPr>
          <w:rFonts w:ascii="Times New Roman" w:eastAsia="Times New Roman" w:hAnsi="Times New Roman" w:cs="Times New Roman"/>
          <w:sz w:val="24"/>
          <w:szCs w:val="24"/>
          <w:lang w:eastAsia="it-IT"/>
        </w:rPr>
        <w:t>, salvo il superamento del limite dei 250.000 euro.</w:t>
      </w:r>
    </w:p>
    <w:p w:rsidR="0001342E" w:rsidRPr="0001342E" w:rsidRDefault="0001342E" w:rsidP="0001342E">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01342E">
        <w:rPr>
          <w:rFonts w:ascii="Times New Roman" w:eastAsia="Times New Roman" w:hAnsi="Times New Roman" w:cs="Times New Roman"/>
          <w:b/>
          <w:bCs/>
          <w:sz w:val="20"/>
          <w:szCs w:val="20"/>
          <w:lang w:eastAsia="it-IT"/>
        </w:rPr>
        <w:t>Quali sono le agevolazioni previste dal regime 398/91 ai fini Iva?</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Il regime forfetario previsto dalla legge n. 398 del 1991 consente di determinare forfetariamente l’Iva da versare, in luogo dell’utilizzo dell’ordinario metodo di conteggio “Iva da Iva” (iva sulle vendite meno iva sugli acquisti).</w:t>
      </w:r>
    </w:p>
    <w:p w:rsidR="0001342E" w:rsidRPr="0001342E" w:rsidRDefault="0001342E" w:rsidP="0001342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1342E">
        <w:rPr>
          <w:rFonts w:ascii="Times New Roman" w:eastAsia="Times New Roman" w:hAnsi="Times New Roman" w:cs="Times New Roman"/>
          <w:noProof/>
          <w:color w:val="0000FF"/>
          <w:sz w:val="24"/>
          <w:szCs w:val="24"/>
          <w:lang w:eastAsia="it-IT"/>
        </w:rPr>
        <w:drawing>
          <wp:inline distT="0" distB="0" distL="0" distR="0" wp14:anchorId="5BF51148" wp14:editId="63A4EE11">
            <wp:extent cx="5168900" cy="1739900"/>
            <wp:effectExtent l="0" t="0" r="0" b="0"/>
            <wp:docPr id="2" name="Immagine 2" descr="iv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900" cy="1739900"/>
                    </a:xfrm>
                    <a:prstGeom prst="rect">
                      <a:avLst/>
                    </a:prstGeom>
                    <a:noFill/>
                    <a:ln>
                      <a:noFill/>
                    </a:ln>
                  </pic:spPr>
                </pic:pic>
              </a:graphicData>
            </a:graphic>
          </wp:inline>
        </w:drawing>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Determinata l’Iva a debito, è necessario effettuare il versamento trimestrale entro il giorno 16 del secondo mese successivo al trimestre di riferimento. Il versamento deve essere effettuato </w:t>
      </w:r>
      <w:r w:rsidRPr="0001342E">
        <w:rPr>
          <w:rFonts w:ascii="Times New Roman" w:eastAsia="Times New Roman" w:hAnsi="Times New Roman" w:cs="Times New Roman"/>
          <w:sz w:val="24"/>
          <w:szCs w:val="24"/>
          <w:lang w:eastAsia="it-IT"/>
        </w:rPr>
        <w:lastRenderedPageBreak/>
        <w:t>utilizzando il Modello F24, con la possibilità di avvalersi delle disposizioni regolanti la compensazione con gli altri tributi.</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Il versamento deve essere effettuato, </w:t>
      </w:r>
      <w:r w:rsidRPr="0001342E">
        <w:rPr>
          <w:rFonts w:ascii="Times New Roman" w:eastAsia="Times New Roman" w:hAnsi="Times New Roman" w:cs="Times New Roman"/>
          <w:b/>
          <w:bCs/>
          <w:sz w:val="24"/>
          <w:szCs w:val="24"/>
          <w:lang w:eastAsia="it-IT"/>
        </w:rPr>
        <w:t>senza maggiorazione degli interessi dell’1%:</w:t>
      </w:r>
    </w:p>
    <w:p w:rsidR="0001342E" w:rsidRPr="0001342E" w:rsidRDefault="0001342E" w:rsidP="0001342E">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il 16 maggio (I trimestre), con codice tributo 6031; </w:t>
      </w:r>
    </w:p>
    <w:p w:rsidR="0001342E" w:rsidRPr="0001342E" w:rsidRDefault="0001342E" w:rsidP="0001342E">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il 16 agosto (II trimestre), con codice tributo 6032; </w:t>
      </w:r>
    </w:p>
    <w:p w:rsidR="0001342E" w:rsidRPr="0001342E" w:rsidRDefault="0001342E" w:rsidP="0001342E">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il 16 novembre (III trimestre), con codice tributo 6033; </w:t>
      </w:r>
    </w:p>
    <w:p w:rsidR="0001342E" w:rsidRPr="0001342E" w:rsidRDefault="0001342E" w:rsidP="0001342E">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il 16 febbraio (IV trimestre), con codice tributo 6034 (anziché il 6099 previsto per la generalità dei contribuenti, che versano il 16 marzo). </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Non è previsto, inoltre, il versamento dell’acconto iva.</w:t>
      </w:r>
    </w:p>
    <w:p w:rsidR="0001342E" w:rsidRPr="0001342E" w:rsidRDefault="0001342E" w:rsidP="0001342E">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01342E">
        <w:rPr>
          <w:rFonts w:ascii="Times New Roman" w:eastAsia="Times New Roman" w:hAnsi="Times New Roman" w:cs="Times New Roman"/>
          <w:b/>
          <w:bCs/>
          <w:sz w:val="20"/>
          <w:szCs w:val="20"/>
          <w:lang w:eastAsia="it-IT"/>
        </w:rPr>
        <w:t xml:space="preserve">Quali sono le agevolazioni ai fini </w:t>
      </w:r>
      <w:proofErr w:type="spellStart"/>
      <w:r w:rsidRPr="0001342E">
        <w:rPr>
          <w:rFonts w:ascii="Times New Roman" w:eastAsia="Times New Roman" w:hAnsi="Times New Roman" w:cs="Times New Roman"/>
          <w:b/>
          <w:bCs/>
          <w:sz w:val="20"/>
          <w:szCs w:val="20"/>
          <w:lang w:eastAsia="it-IT"/>
        </w:rPr>
        <w:t>Ires</w:t>
      </w:r>
      <w:proofErr w:type="spellEnd"/>
      <w:r w:rsidRPr="0001342E">
        <w:rPr>
          <w:rFonts w:ascii="Times New Roman" w:eastAsia="Times New Roman" w:hAnsi="Times New Roman" w:cs="Times New Roman"/>
          <w:b/>
          <w:bCs/>
          <w:sz w:val="20"/>
          <w:szCs w:val="20"/>
          <w:lang w:eastAsia="it-IT"/>
        </w:rPr>
        <w:t xml:space="preserve"> introdotte dal regime 398/91?</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Gli enti associativi che optano per il regime 398/91 determinano la base ai fini </w:t>
      </w:r>
      <w:proofErr w:type="spellStart"/>
      <w:r w:rsidRPr="0001342E">
        <w:rPr>
          <w:rFonts w:ascii="Times New Roman" w:eastAsia="Times New Roman" w:hAnsi="Times New Roman" w:cs="Times New Roman"/>
          <w:sz w:val="24"/>
          <w:szCs w:val="24"/>
          <w:lang w:eastAsia="it-IT"/>
        </w:rPr>
        <w:t>Ires</w:t>
      </w:r>
      <w:proofErr w:type="spellEnd"/>
      <w:r w:rsidRPr="0001342E">
        <w:rPr>
          <w:rFonts w:ascii="Times New Roman" w:eastAsia="Times New Roman" w:hAnsi="Times New Roman" w:cs="Times New Roman"/>
          <w:sz w:val="24"/>
          <w:szCs w:val="24"/>
          <w:lang w:eastAsia="it-IT"/>
        </w:rPr>
        <w:t xml:space="preserve"> applicando l’aliquota del </w:t>
      </w:r>
      <w:r w:rsidRPr="0001342E">
        <w:rPr>
          <w:rFonts w:ascii="Times New Roman" w:eastAsia="Times New Roman" w:hAnsi="Times New Roman" w:cs="Times New Roman"/>
          <w:b/>
          <w:bCs/>
          <w:sz w:val="24"/>
          <w:szCs w:val="24"/>
          <w:lang w:eastAsia="it-IT"/>
        </w:rPr>
        <w:t>3% al totale dei proventi commerciali e aggiungendo</w:t>
      </w:r>
      <w:r w:rsidRPr="0001342E">
        <w:rPr>
          <w:rFonts w:ascii="Times New Roman" w:eastAsia="Times New Roman" w:hAnsi="Times New Roman" w:cs="Times New Roman"/>
          <w:sz w:val="24"/>
          <w:szCs w:val="24"/>
          <w:lang w:eastAsia="it-IT"/>
        </w:rPr>
        <w:t xml:space="preserve">, al risultato così ottenuto, le </w:t>
      </w:r>
      <w:r w:rsidRPr="0001342E">
        <w:rPr>
          <w:rFonts w:ascii="Times New Roman" w:eastAsia="Times New Roman" w:hAnsi="Times New Roman" w:cs="Times New Roman"/>
          <w:b/>
          <w:bCs/>
          <w:sz w:val="24"/>
          <w:szCs w:val="24"/>
          <w:lang w:eastAsia="it-IT"/>
        </w:rPr>
        <w:t>plusvalenze patrimoniali</w:t>
      </w:r>
      <w:r w:rsidRPr="0001342E">
        <w:rPr>
          <w:rFonts w:ascii="Times New Roman" w:eastAsia="Times New Roman" w:hAnsi="Times New Roman" w:cs="Times New Roman"/>
          <w:sz w:val="24"/>
          <w:szCs w:val="24"/>
          <w:lang w:eastAsia="it-IT"/>
        </w:rPr>
        <w:t>, interamente tassate</w:t>
      </w:r>
      <w:hyperlink r:id="rId11" w:anchor="_ftn1" w:tooltip="" w:history="1">
        <w:r w:rsidRPr="0001342E">
          <w:rPr>
            <w:rFonts w:ascii="Times New Roman" w:eastAsia="Times New Roman" w:hAnsi="Times New Roman" w:cs="Times New Roman"/>
            <w:color w:val="0000FF"/>
            <w:sz w:val="24"/>
            <w:szCs w:val="24"/>
            <w:u w:val="single"/>
            <w:lang w:eastAsia="it-IT"/>
          </w:rPr>
          <w:t>[1]</w:t>
        </w:r>
      </w:hyperlink>
      <w:r w:rsidRPr="0001342E">
        <w:rPr>
          <w:rFonts w:ascii="Times New Roman" w:eastAsia="Times New Roman" w:hAnsi="Times New Roman" w:cs="Times New Roman"/>
          <w:sz w:val="24"/>
          <w:szCs w:val="24"/>
          <w:lang w:eastAsia="it-IT"/>
        </w:rPr>
        <w:t>.</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Non concorrono a formare la base imponibile ai fini </w:t>
      </w:r>
      <w:proofErr w:type="spellStart"/>
      <w:r w:rsidRPr="0001342E">
        <w:rPr>
          <w:rFonts w:ascii="Times New Roman" w:eastAsia="Times New Roman" w:hAnsi="Times New Roman" w:cs="Times New Roman"/>
          <w:sz w:val="24"/>
          <w:szCs w:val="24"/>
          <w:lang w:eastAsia="it-IT"/>
        </w:rPr>
        <w:t>Ires</w:t>
      </w:r>
      <w:proofErr w:type="spellEnd"/>
      <w:r w:rsidRPr="0001342E">
        <w:rPr>
          <w:rFonts w:ascii="Times New Roman" w:eastAsia="Times New Roman" w:hAnsi="Times New Roman" w:cs="Times New Roman"/>
          <w:sz w:val="24"/>
          <w:szCs w:val="24"/>
          <w:lang w:eastAsia="it-IT"/>
        </w:rPr>
        <w:t xml:space="preserve">, secondo le disposizioni della legge 133/99 (art. 25, c. 2, </w:t>
      </w:r>
      <w:proofErr w:type="spellStart"/>
      <w:r w:rsidRPr="0001342E">
        <w:rPr>
          <w:rFonts w:ascii="Times New Roman" w:eastAsia="Times New Roman" w:hAnsi="Times New Roman" w:cs="Times New Roman"/>
          <w:sz w:val="24"/>
          <w:szCs w:val="24"/>
          <w:lang w:eastAsia="it-IT"/>
        </w:rPr>
        <w:t>lett</w:t>
      </w:r>
      <w:proofErr w:type="spellEnd"/>
      <w:r w:rsidRPr="0001342E">
        <w:rPr>
          <w:rFonts w:ascii="Times New Roman" w:eastAsia="Times New Roman" w:hAnsi="Times New Roman" w:cs="Times New Roman"/>
          <w:sz w:val="24"/>
          <w:szCs w:val="24"/>
          <w:lang w:eastAsia="it-IT"/>
        </w:rPr>
        <w:t>. a) e b)):</w:t>
      </w:r>
    </w:p>
    <w:p w:rsidR="0001342E" w:rsidRPr="0001342E" w:rsidRDefault="0001342E" w:rsidP="0001342E">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proventi derivanti da attività di natura commerciale, </w:t>
      </w:r>
      <w:r w:rsidRPr="0001342E">
        <w:rPr>
          <w:rFonts w:ascii="Times New Roman" w:eastAsia="Times New Roman" w:hAnsi="Times New Roman" w:cs="Times New Roman"/>
          <w:b/>
          <w:bCs/>
          <w:sz w:val="24"/>
          <w:szCs w:val="24"/>
          <w:lang w:eastAsia="it-IT"/>
        </w:rPr>
        <w:t xml:space="preserve">connesse </w:t>
      </w:r>
      <w:r w:rsidRPr="0001342E">
        <w:rPr>
          <w:rFonts w:ascii="Times New Roman" w:eastAsia="Times New Roman" w:hAnsi="Times New Roman" w:cs="Times New Roman"/>
          <w:sz w:val="24"/>
          <w:szCs w:val="24"/>
          <w:lang w:eastAsia="it-IT"/>
        </w:rPr>
        <w:t xml:space="preserve">agli scopi istituzionali, purché legate ad una manifestazione sportiva (es. somministrazione alimenti e bevande, materiali sportivi, </w:t>
      </w:r>
      <w:proofErr w:type="spellStart"/>
      <w:r w:rsidRPr="0001342E">
        <w:rPr>
          <w:rFonts w:ascii="Times New Roman" w:eastAsia="Times New Roman" w:hAnsi="Times New Roman" w:cs="Times New Roman"/>
          <w:sz w:val="24"/>
          <w:szCs w:val="24"/>
          <w:lang w:eastAsia="it-IT"/>
        </w:rPr>
        <w:t>gadgets</w:t>
      </w:r>
      <w:proofErr w:type="spellEnd"/>
      <w:r w:rsidRPr="0001342E">
        <w:rPr>
          <w:rFonts w:ascii="Times New Roman" w:eastAsia="Times New Roman" w:hAnsi="Times New Roman" w:cs="Times New Roman"/>
          <w:sz w:val="24"/>
          <w:szCs w:val="24"/>
          <w:lang w:eastAsia="it-IT"/>
        </w:rPr>
        <w:t xml:space="preserve"> pubblicitari, cene sociali, lotterie, sponsorizzazioni..) </w:t>
      </w:r>
    </w:p>
    <w:p w:rsidR="0001342E" w:rsidRPr="0001342E" w:rsidRDefault="0001342E" w:rsidP="0001342E">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proventi derivanti </w:t>
      </w:r>
      <w:r w:rsidRPr="0001342E">
        <w:rPr>
          <w:rFonts w:ascii="Times New Roman" w:eastAsia="Times New Roman" w:hAnsi="Times New Roman" w:cs="Times New Roman"/>
          <w:b/>
          <w:bCs/>
          <w:sz w:val="24"/>
          <w:szCs w:val="24"/>
          <w:lang w:eastAsia="it-IT"/>
        </w:rPr>
        <w:t>da raccolte pubbliche di fondi</w:t>
      </w:r>
      <w:r w:rsidRPr="0001342E">
        <w:rPr>
          <w:rFonts w:ascii="Times New Roman" w:eastAsia="Times New Roman" w:hAnsi="Times New Roman" w:cs="Times New Roman"/>
          <w:sz w:val="24"/>
          <w:szCs w:val="24"/>
          <w:lang w:eastAsia="it-IT"/>
        </w:rPr>
        <w:t xml:space="preserve">, come previsto dall’art. 143, comma 2-bis </w:t>
      </w:r>
      <w:proofErr w:type="spellStart"/>
      <w:r w:rsidRPr="0001342E">
        <w:rPr>
          <w:rFonts w:ascii="Times New Roman" w:eastAsia="Times New Roman" w:hAnsi="Times New Roman" w:cs="Times New Roman"/>
          <w:sz w:val="24"/>
          <w:szCs w:val="24"/>
          <w:lang w:eastAsia="it-IT"/>
        </w:rPr>
        <w:t>lett</w:t>
      </w:r>
      <w:proofErr w:type="spellEnd"/>
      <w:r w:rsidRPr="0001342E">
        <w:rPr>
          <w:rFonts w:ascii="Times New Roman" w:eastAsia="Times New Roman" w:hAnsi="Times New Roman" w:cs="Times New Roman"/>
          <w:sz w:val="24"/>
          <w:szCs w:val="24"/>
          <w:lang w:eastAsia="it-IT"/>
        </w:rPr>
        <w:t xml:space="preserve">. a) del </w:t>
      </w:r>
      <w:proofErr w:type="spellStart"/>
      <w:r w:rsidRPr="0001342E">
        <w:rPr>
          <w:rFonts w:ascii="Times New Roman" w:eastAsia="Times New Roman" w:hAnsi="Times New Roman" w:cs="Times New Roman"/>
          <w:sz w:val="24"/>
          <w:szCs w:val="24"/>
          <w:lang w:eastAsia="it-IT"/>
        </w:rPr>
        <w:t>Tuir</w:t>
      </w:r>
      <w:proofErr w:type="spellEnd"/>
      <w:r w:rsidRPr="0001342E">
        <w:rPr>
          <w:rFonts w:ascii="Times New Roman" w:eastAsia="Times New Roman" w:hAnsi="Times New Roman" w:cs="Times New Roman"/>
          <w:sz w:val="24"/>
          <w:szCs w:val="24"/>
          <w:lang w:eastAsia="it-IT"/>
        </w:rPr>
        <w:t xml:space="preserve">, effettuate occasionalmente e in concomitanza di celebrazioni, ricorrenze o campagne di sensibilizzazione, anche mediante la vendita di beni o servizi di modico valore, a fronte di offerte non commisurate al valore del bene o servizio offerto. L’esclusione vale solo se vengono rispettati i seguenti limiti: </w:t>
      </w:r>
    </w:p>
    <w:p w:rsidR="0001342E" w:rsidRPr="0001342E" w:rsidRDefault="0001342E" w:rsidP="0001342E">
      <w:pPr>
        <w:numPr>
          <w:ilvl w:val="1"/>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b/>
          <w:bCs/>
          <w:sz w:val="24"/>
          <w:szCs w:val="24"/>
          <w:lang w:eastAsia="it-IT"/>
        </w:rPr>
        <w:t>massimo due eventi l’anno</w:t>
      </w:r>
      <w:r w:rsidRPr="0001342E">
        <w:rPr>
          <w:rFonts w:ascii="Times New Roman" w:eastAsia="Times New Roman" w:hAnsi="Times New Roman" w:cs="Times New Roman"/>
          <w:sz w:val="24"/>
          <w:szCs w:val="24"/>
          <w:lang w:eastAsia="it-IT"/>
        </w:rPr>
        <w:t xml:space="preserve"> </w:t>
      </w:r>
    </w:p>
    <w:p w:rsidR="0001342E" w:rsidRPr="0001342E" w:rsidRDefault="0001342E" w:rsidP="0001342E">
      <w:pPr>
        <w:numPr>
          <w:ilvl w:val="1"/>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b/>
          <w:bCs/>
          <w:sz w:val="24"/>
          <w:szCs w:val="24"/>
          <w:lang w:eastAsia="it-IT"/>
        </w:rPr>
        <w:t>importo complessivo dei proventi che non supera i 51.645,69 euro</w:t>
      </w:r>
      <w:r w:rsidRPr="0001342E">
        <w:rPr>
          <w:rFonts w:ascii="Times New Roman" w:eastAsia="Times New Roman" w:hAnsi="Times New Roman" w:cs="Times New Roman"/>
          <w:sz w:val="24"/>
          <w:szCs w:val="24"/>
          <w:lang w:eastAsia="it-IT"/>
        </w:rPr>
        <w:t xml:space="preserve"> </w:t>
      </w:r>
    </w:p>
    <w:p w:rsidR="0001342E" w:rsidRPr="0001342E" w:rsidRDefault="0001342E" w:rsidP="0001342E">
      <w:pPr>
        <w:numPr>
          <w:ilvl w:val="1"/>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redazione, entro 4 mesi dalla chiusura dell’esercizio, del </w:t>
      </w:r>
      <w:r w:rsidRPr="0001342E">
        <w:rPr>
          <w:rFonts w:ascii="Times New Roman" w:eastAsia="Times New Roman" w:hAnsi="Times New Roman" w:cs="Times New Roman"/>
          <w:b/>
          <w:bCs/>
          <w:sz w:val="24"/>
          <w:szCs w:val="24"/>
          <w:lang w:eastAsia="it-IT"/>
        </w:rPr>
        <w:t>rendiconto di ciascun evento di raccolta</w:t>
      </w:r>
      <w:r w:rsidRPr="0001342E">
        <w:rPr>
          <w:rFonts w:ascii="Times New Roman" w:eastAsia="Times New Roman" w:hAnsi="Times New Roman" w:cs="Times New Roman"/>
          <w:sz w:val="24"/>
          <w:szCs w:val="24"/>
          <w:lang w:eastAsia="it-IT"/>
        </w:rPr>
        <w:t xml:space="preserve">, ai sensi dell’art. 20 </w:t>
      </w:r>
      <w:proofErr w:type="spellStart"/>
      <w:r w:rsidRPr="0001342E">
        <w:rPr>
          <w:rFonts w:ascii="Times New Roman" w:eastAsia="Times New Roman" w:hAnsi="Times New Roman" w:cs="Times New Roman"/>
          <w:sz w:val="24"/>
          <w:szCs w:val="24"/>
          <w:lang w:eastAsia="it-IT"/>
        </w:rPr>
        <w:t>DPR</w:t>
      </w:r>
      <w:proofErr w:type="spellEnd"/>
      <w:r w:rsidRPr="0001342E">
        <w:rPr>
          <w:rFonts w:ascii="Times New Roman" w:eastAsia="Times New Roman" w:hAnsi="Times New Roman" w:cs="Times New Roman"/>
          <w:sz w:val="24"/>
          <w:szCs w:val="24"/>
          <w:lang w:eastAsia="it-IT"/>
        </w:rPr>
        <w:t xml:space="preserve"> 600/1973</w:t>
      </w:r>
      <w:hyperlink r:id="rId12" w:anchor="_ftn2" w:tooltip="" w:history="1">
        <w:r w:rsidRPr="0001342E">
          <w:rPr>
            <w:rFonts w:ascii="Times New Roman" w:eastAsia="Times New Roman" w:hAnsi="Times New Roman" w:cs="Times New Roman"/>
            <w:color w:val="0000FF"/>
            <w:sz w:val="24"/>
            <w:szCs w:val="24"/>
            <w:u w:val="single"/>
            <w:lang w:eastAsia="it-IT"/>
          </w:rPr>
          <w:t>[2]</w:t>
        </w:r>
      </w:hyperlink>
      <w:r w:rsidRPr="0001342E">
        <w:rPr>
          <w:rFonts w:ascii="Times New Roman" w:eastAsia="Times New Roman" w:hAnsi="Times New Roman" w:cs="Times New Roman"/>
          <w:sz w:val="24"/>
          <w:szCs w:val="24"/>
          <w:lang w:eastAsia="it-IT"/>
        </w:rPr>
        <w:t xml:space="preserve">. </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L’eccedenza rispetto ai limiti di cui sopra (superamento dei 51.645,69 euro e/o dei due eventi l’anno), viene inclusa nel computo del 3% dei proventi per la definizione della base imponibile </w:t>
      </w:r>
      <w:proofErr w:type="spellStart"/>
      <w:r w:rsidRPr="0001342E">
        <w:rPr>
          <w:rFonts w:ascii="Times New Roman" w:eastAsia="Times New Roman" w:hAnsi="Times New Roman" w:cs="Times New Roman"/>
          <w:sz w:val="24"/>
          <w:szCs w:val="24"/>
          <w:lang w:eastAsia="it-IT"/>
        </w:rPr>
        <w:t>Ires</w:t>
      </w:r>
      <w:proofErr w:type="spellEnd"/>
      <w:r w:rsidRPr="0001342E">
        <w:rPr>
          <w:rFonts w:ascii="Times New Roman" w:eastAsia="Times New Roman" w:hAnsi="Times New Roman" w:cs="Times New Roman"/>
          <w:sz w:val="24"/>
          <w:szCs w:val="24"/>
          <w:lang w:eastAsia="it-IT"/>
        </w:rPr>
        <w:t>.</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Alla base imponibile viene applicata l’aliquota </w:t>
      </w:r>
      <w:proofErr w:type="spellStart"/>
      <w:r w:rsidRPr="0001342E">
        <w:rPr>
          <w:rFonts w:ascii="Times New Roman" w:eastAsia="Times New Roman" w:hAnsi="Times New Roman" w:cs="Times New Roman"/>
          <w:sz w:val="24"/>
          <w:szCs w:val="24"/>
          <w:lang w:eastAsia="it-IT"/>
        </w:rPr>
        <w:t>Ires</w:t>
      </w:r>
      <w:proofErr w:type="spellEnd"/>
      <w:r w:rsidRPr="0001342E">
        <w:rPr>
          <w:rFonts w:ascii="Times New Roman" w:eastAsia="Times New Roman" w:hAnsi="Times New Roman" w:cs="Times New Roman"/>
          <w:sz w:val="24"/>
          <w:szCs w:val="24"/>
          <w:lang w:eastAsia="it-IT"/>
        </w:rPr>
        <w:t xml:space="preserve"> del 27,5%, come avviene per le società di capitali.</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Per conteggiare i proventi imponibili ai fini </w:t>
      </w:r>
      <w:proofErr w:type="spellStart"/>
      <w:r w:rsidRPr="0001342E">
        <w:rPr>
          <w:rFonts w:ascii="Times New Roman" w:eastAsia="Times New Roman" w:hAnsi="Times New Roman" w:cs="Times New Roman"/>
          <w:sz w:val="24"/>
          <w:szCs w:val="24"/>
          <w:lang w:eastAsia="it-IT"/>
        </w:rPr>
        <w:t>Ires</w:t>
      </w:r>
      <w:proofErr w:type="spellEnd"/>
      <w:r w:rsidRPr="0001342E">
        <w:rPr>
          <w:rFonts w:ascii="Times New Roman" w:eastAsia="Times New Roman" w:hAnsi="Times New Roman" w:cs="Times New Roman"/>
          <w:sz w:val="24"/>
          <w:szCs w:val="24"/>
          <w:lang w:eastAsia="it-IT"/>
        </w:rPr>
        <w:t xml:space="preserve">, sulla base dell’analisi delle fonti normative e di prassi disponibili (Circolare del Ministero delle Finanze n. 1 dell’11/02/1992, D.M. 18/5/1995, Circolare SIAE 19/12/1992, n. 712) si applica una sorta di </w:t>
      </w:r>
      <w:r w:rsidRPr="0001342E">
        <w:rPr>
          <w:rFonts w:ascii="Times New Roman" w:eastAsia="Times New Roman" w:hAnsi="Times New Roman" w:cs="Times New Roman"/>
          <w:i/>
          <w:iCs/>
          <w:sz w:val="24"/>
          <w:szCs w:val="24"/>
          <w:lang w:eastAsia="it-IT"/>
        </w:rPr>
        <w:t>principio di cassa allargato</w:t>
      </w:r>
      <w:r w:rsidRPr="0001342E">
        <w:rPr>
          <w:rFonts w:ascii="Times New Roman" w:eastAsia="Times New Roman" w:hAnsi="Times New Roman" w:cs="Times New Roman"/>
          <w:sz w:val="24"/>
          <w:szCs w:val="24"/>
          <w:lang w:eastAsia="it-IT"/>
        </w:rPr>
        <w:t>.</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Pertanto, sia ai fini della determinazione del reddito, sia del plafond dei 250.000 euro:</w:t>
      </w:r>
    </w:p>
    <w:p w:rsidR="0001342E" w:rsidRPr="0001342E" w:rsidRDefault="0001342E" w:rsidP="0001342E">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in assenza di fattura devono computarsi </w:t>
      </w:r>
      <w:r w:rsidRPr="0001342E">
        <w:rPr>
          <w:rFonts w:ascii="Times New Roman" w:eastAsia="Times New Roman" w:hAnsi="Times New Roman" w:cs="Times New Roman"/>
          <w:b/>
          <w:bCs/>
          <w:sz w:val="24"/>
          <w:szCs w:val="24"/>
          <w:lang w:eastAsia="it-IT"/>
        </w:rPr>
        <w:t>tutti i proventi commerciali incassati nell’anno</w:t>
      </w:r>
      <w:r w:rsidRPr="0001342E">
        <w:rPr>
          <w:rFonts w:ascii="Times New Roman" w:eastAsia="Times New Roman" w:hAnsi="Times New Roman" w:cs="Times New Roman"/>
          <w:sz w:val="24"/>
          <w:szCs w:val="24"/>
          <w:lang w:eastAsia="it-IT"/>
        </w:rPr>
        <w:t xml:space="preserve"> </w:t>
      </w:r>
    </w:p>
    <w:p w:rsidR="0001342E" w:rsidRPr="0001342E" w:rsidRDefault="0001342E" w:rsidP="0001342E">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a questi dovranno aggiungersi </w:t>
      </w:r>
    </w:p>
    <w:p w:rsidR="0001342E" w:rsidRPr="0001342E" w:rsidRDefault="0001342E" w:rsidP="0001342E">
      <w:pPr>
        <w:numPr>
          <w:ilvl w:val="1"/>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tutti i proventi </w:t>
      </w:r>
      <w:r w:rsidRPr="0001342E">
        <w:rPr>
          <w:rFonts w:ascii="Times New Roman" w:eastAsia="Times New Roman" w:hAnsi="Times New Roman" w:cs="Times New Roman"/>
          <w:b/>
          <w:bCs/>
          <w:sz w:val="24"/>
          <w:szCs w:val="24"/>
          <w:lang w:eastAsia="it-IT"/>
        </w:rPr>
        <w:t>fatturati e incassati</w:t>
      </w:r>
      <w:r w:rsidRPr="0001342E">
        <w:rPr>
          <w:rFonts w:ascii="Times New Roman" w:eastAsia="Times New Roman" w:hAnsi="Times New Roman" w:cs="Times New Roman"/>
          <w:sz w:val="24"/>
          <w:szCs w:val="24"/>
          <w:lang w:eastAsia="it-IT"/>
        </w:rPr>
        <w:t xml:space="preserve"> nell’anno </w:t>
      </w:r>
    </w:p>
    <w:p w:rsidR="0001342E" w:rsidRPr="0001342E" w:rsidRDefault="0001342E" w:rsidP="0001342E">
      <w:pPr>
        <w:numPr>
          <w:ilvl w:val="1"/>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lastRenderedPageBreak/>
        <w:t xml:space="preserve">tutti proventi </w:t>
      </w:r>
      <w:r w:rsidRPr="0001342E">
        <w:rPr>
          <w:rFonts w:ascii="Times New Roman" w:eastAsia="Times New Roman" w:hAnsi="Times New Roman" w:cs="Times New Roman"/>
          <w:b/>
          <w:bCs/>
          <w:sz w:val="24"/>
          <w:szCs w:val="24"/>
          <w:lang w:eastAsia="it-IT"/>
        </w:rPr>
        <w:t>fatturati ma ancora non riscossi</w:t>
      </w:r>
      <w:r w:rsidRPr="0001342E">
        <w:rPr>
          <w:rFonts w:ascii="Times New Roman" w:eastAsia="Times New Roman" w:hAnsi="Times New Roman" w:cs="Times New Roman"/>
          <w:sz w:val="24"/>
          <w:szCs w:val="24"/>
          <w:lang w:eastAsia="it-IT"/>
        </w:rPr>
        <w:t xml:space="preserve">. </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Quanto appena detto non rileva per quanto attiene l’iva da versare trimestralmente, dovuta al momento dell’emissione della fattura o dell’incasso del corrispettivo in assenza di fatturazione.</w:t>
      </w:r>
    </w:p>
    <w:p w:rsidR="0001342E" w:rsidRPr="0001342E" w:rsidRDefault="0001342E" w:rsidP="0001342E">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01342E">
        <w:rPr>
          <w:rFonts w:ascii="Times New Roman" w:eastAsia="Times New Roman" w:hAnsi="Times New Roman" w:cs="Times New Roman"/>
          <w:b/>
          <w:bCs/>
          <w:sz w:val="20"/>
          <w:szCs w:val="20"/>
          <w:lang w:eastAsia="it-IT"/>
        </w:rPr>
        <w:t>Quali sono le agevolazioni ai fini Irap introdotte dal regime 398/91?</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Per quanto riguarda la determinazione dell’Imposta Regionale sulle Attività Produttive (Irap), se l’associazione svolge anche attività di natura commerciale, il valore della produzione netta (base imponibile Irap) è determinato come segue.</w:t>
      </w:r>
    </w:p>
    <w:p w:rsidR="0001342E" w:rsidRPr="0001342E" w:rsidRDefault="0001342E" w:rsidP="0001342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1342E">
        <w:rPr>
          <w:rFonts w:ascii="Times New Roman" w:eastAsia="Times New Roman" w:hAnsi="Times New Roman" w:cs="Times New Roman"/>
          <w:noProof/>
          <w:color w:val="0000FF"/>
          <w:sz w:val="24"/>
          <w:szCs w:val="24"/>
          <w:lang w:eastAsia="it-IT"/>
        </w:rPr>
        <w:drawing>
          <wp:inline distT="0" distB="0" distL="0" distR="0" wp14:anchorId="43743E93" wp14:editId="5D9161D8">
            <wp:extent cx="4845050" cy="2298700"/>
            <wp:effectExtent l="0" t="0" r="0" b="6350"/>
            <wp:docPr id="3" name="Immagine 3" descr="ira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5050" cy="2298700"/>
                    </a:xfrm>
                    <a:prstGeom prst="rect">
                      <a:avLst/>
                    </a:prstGeom>
                    <a:noFill/>
                    <a:ln>
                      <a:noFill/>
                    </a:ln>
                  </pic:spPr>
                </pic:pic>
              </a:graphicData>
            </a:graphic>
          </wp:inline>
        </w:drawing>
      </w:r>
    </w:p>
    <w:p w:rsidR="0001342E" w:rsidRPr="0001342E" w:rsidRDefault="0001342E" w:rsidP="0001342E">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01342E">
        <w:rPr>
          <w:rFonts w:ascii="Times New Roman" w:eastAsia="Times New Roman" w:hAnsi="Times New Roman" w:cs="Times New Roman"/>
          <w:b/>
          <w:bCs/>
          <w:sz w:val="20"/>
          <w:szCs w:val="20"/>
          <w:lang w:eastAsia="it-IT"/>
        </w:rPr>
        <w:t>Quali sono gli adempimenti obbligatori previsti dalla legge n. 398/91?</w:t>
      </w:r>
    </w:p>
    <w:p w:rsidR="0001342E" w:rsidRPr="0001342E" w:rsidRDefault="0001342E" w:rsidP="0001342E">
      <w:pPr>
        <w:spacing w:after="0"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noProof/>
          <w:color w:val="0000FF"/>
          <w:sz w:val="24"/>
          <w:szCs w:val="24"/>
          <w:lang w:eastAsia="it-IT"/>
        </w:rPr>
        <w:lastRenderedPageBreak/>
        <w:drawing>
          <wp:inline distT="0" distB="0" distL="0" distR="0" wp14:anchorId="55502136" wp14:editId="7E16F7BE">
            <wp:extent cx="4464050" cy="4781550"/>
            <wp:effectExtent l="0" t="0" r="0" b="0"/>
            <wp:docPr id="4" name="Immagine 4" descr="adempiment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empiment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4050" cy="4781550"/>
                    </a:xfrm>
                    <a:prstGeom prst="rect">
                      <a:avLst/>
                    </a:prstGeom>
                    <a:noFill/>
                    <a:ln>
                      <a:noFill/>
                    </a:ln>
                  </pic:spPr>
                </pic:pic>
              </a:graphicData>
            </a:graphic>
          </wp:inline>
        </w:drawing>
      </w:r>
    </w:p>
    <w:p w:rsidR="0001342E" w:rsidRPr="0001342E" w:rsidRDefault="0001342E" w:rsidP="0001342E">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01342E">
        <w:rPr>
          <w:rFonts w:ascii="Times New Roman" w:eastAsia="Times New Roman" w:hAnsi="Times New Roman" w:cs="Times New Roman"/>
          <w:b/>
          <w:bCs/>
          <w:sz w:val="20"/>
          <w:szCs w:val="20"/>
          <w:lang w:eastAsia="it-IT"/>
        </w:rPr>
        <w:t>Come avviene la fuoriuscita dal regime ex legge n. 398/91?</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Gli enti che applicano il regime forfetario di cui alla Legge 398/1991 non devono superare il limite annuo di euro 250.000 dei proventi da attività commerciale, onde evitare la decadenza dal regime agevolativo.</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 xml:space="preserve">Il superamento del limite determina la fuoriuscita dal regime </w:t>
      </w:r>
      <w:r w:rsidRPr="0001342E">
        <w:rPr>
          <w:rFonts w:ascii="Times New Roman" w:eastAsia="Times New Roman" w:hAnsi="Times New Roman" w:cs="Times New Roman"/>
          <w:b/>
          <w:bCs/>
          <w:sz w:val="24"/>
          <w:szCs w:val="24"/>
          <w:lang w:eastAsia="it-IT"/>
        </w:rPr>
        <w:t>dal mese successivo al quello in cui il limite viene superato</w:t>
      </w:r>
      <w:r w:rsidRPr="0001342E">
        <w:rPr>
          <w:rFonts w:ascii="Times New Roman" w:eastAsia="Times New Roman" w:hAnsi="Times New Roman" w:cs="Times New Roman"/>
          <w:sz w:val="24"/>
          <w:szCs w:val="24"/>
          <w:lang w:eastAsia="it-IT"/>
        </w:rPr>
        <w:t xml:space="preserve">. A partire da questo momento si applicheranno le regole generali di versamento dell’Iva e di calcolo di </w:t>
      </w:r>
      <w:proofErr w:type="spellStart"/>
      <w:r w:rsidRPr="0001342E">
        <w:rPr>
          <w:rFonts w:ascii="Times New Roman" w:eastAsia="Times New Roman" w:hAnsi="Times New Roman" w:cs="Times New Roman"/>
          <w:sz w:val="24"/>
          <w:szCs w:val="24"/>
          <w:lang w:eastAsia="it-IT"/>
        </w:rPr>
        <w:t>Ires</w:t>
      </w:r>
      <w:proofErr w:type="spellEnd"/>
      <w:r w:rsidRPr="0001342E">
        <w:rPr>
          <w:rFonts w:ascii="Times New Roman" w:eastAsia="Times New Roman" w:hAnsi="Times New Roman" w:cs="Times New Roman"/>
          <w:sz w:val="24"/>
          <w:szCs w:val="24"/>
          <w:lang w:eastAsia="it-IT"/>
        </w:rPr>
        <w:t xml:space="preserve"> e Irap dovute.</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Dunque, per l’esercizio in cui è avvenuto il superamento, si evidenzieranno due distinti periodi di imposta, ognuno dei quali sarà assoggettato a regimi contabili e fiscali differenti.</w:t>
      </w:r>
    </w:p>
    <w:p w:rsidR="0001342E" w:rsidRPr="0001342E" w:rsidRDefault="0001342E" w:rsidP="0001342E">
      <w:pPr>
        <w:spacing w:after="0"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noProof/>
          <w:color w:val="0000FF"/>
          <w:sz w:val="24"/>
          <w:szCs w:val="24"/>
          <w:lang w:eastAsia="it-IT"/>
        </w:rPr>
        <w:lastRenderedPageBreak/>
        <w:drawing>
          <wp:inline distT="0" distB="0" distL="0" distR="0" wp14:anchorId="67E7238F" wp14:editId="294C2048">
            <wp:extent cx="3854450" cy="2514600"/>
            <wp:effectExtent l="0" t="0" r="0" b="0"/>
            <wp:docPr id="5" name="Immagine 5" descr="uscit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cit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4450" cy="2514600"/>
                    </a:xfrm>
                    <a:prstGeom prst="rect">
                      <a:avLst/>
                    </a:prstGeom>
                    <a:noFill/>
                    <a:ln>
                      <a:noFill/>
                    </a:ln>
                  </pic:spPr>
                </pic:pic>
              </a:graphicData>
            </a:graphic>
          </wp:inline>
        </w:drawing>
      </w:r>
    </w:p>
    <w:p w:rsidR="0001342E" w:rsidRPr="0001342E" w:rsidRDefault="0001342E" w:rsidP="0001342E">
      <w:pPr>
        <w:spacing w:after="0"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t>Per un maggior approfondimento si rinvia alla Rivista N. 6 – giugno 2013.</w:t>
      </w:r>
    </w:p>
    <w:p w:rsidR="0001342E" w:rsidRPr="0001342E" w:rsidRDefault="0001342E" w:rsidP="0001342E">
      <w:pPr>
        <w:spacing w:after="0"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br w:type="textWrapping" w:clear="all"/>
      </w:r>
    </w:p>
    <w:p w:rsidR="0001342E" w:rsidRPr="0001342E" w:rsidRDefault="0001342E" w:rsidP="0001342E">
      <w:pPr>
        <w:spacing w:after="0" w:line="240" w:lineRule="auto"/>
        <w:rPr>
          <w:rFonts w:ascii="Times New Roman" w:eastAsia="Times New Roman" w:hAnsi="Times New Roman" w:cs="Times New Roman"/>
          <w:sz w:val="24"/>
          <w:szCs w:val="24"/>
          <w:lang w:eastAsia="it-IT"/>
        </w:rPr>
      </w:pPr>
      <w:r w:rsidRPr="0001342E">
        <w:rPr>
          <w:rFonts w:ascii="Times New Roman" w:eastAsia="Times New Roman" w:hAnsi="Times New Roman" w:cs="Times New Roman"/>
          <w:sz w:val="24"/>
          <w:szCs w:val="24"/>
          <w:lang w:eastAsia="it-IT"/>
        </w:rPr>
        <w:pict>
          <v:rect id="_x0000_i1025" style="width:159.05pt;height:.75pt" o:hrpct="330" o:hrstd="t" o:hr="t" fillcolor="#a0a0a0" stroked="f"/>
        </w:pic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hyperlink r:id="rId19" w:anchor="_ftnref1" w:tooltip="" w:history="1">
        <w:r w:rsidRPr="0001342E">
          <w:rPr>
            <w:rFonts w:ascii="Times New Roman" w:eastAsia="Times New Roman" w:hAnsi="Times New Roman" w:cs="Times New Roman"/>
            <w:color w:val="0000FF"/>
            <w:sz w:val="24"/>
            <w:szCs w:val="24"/>
            <w:u w:val="single"/>
            <w:lang w:eastAsia="it-IT"/>
          </w:rPr>
          <w:t>[1]</w:t>
        </w:r>
      </w:hyperlink>
      <w:r w:rsidRPr="0001342E">
        <w:rPr>
          <w:rFonts w:ascii="Times New Roman" w:eastAsia="Times New Roman" w:hAnsi="Times New Roman" w:cs="Times New Roman"/>
          <w:sz w:val="24"/>
          <w:szCs w:val="24"/>
          <w:lang w:eastAsia="it-IT"/>
        </w:rPr>
        <w:t xml:space="preserve"> Le società sportive dilettantistiche applicano, invece, il coefficiente del 3% al totale dei proventi e componenti positivi di reddito, in quanto qualsiasi entrata, sia istituzionale sia commerciale, è attratta nel reddito d’impresa.</w:t>
      </w:r>
    </w:p>
    <w:p w:rsidR="0001342E" w:rsidRPr="0001342E" w:rsidRDefault="0001342E" w:rsidP="0001342E">
      <w:pPr>
        <w:spacing w:before="100" w:beforeAutospacing="1" w:after="100" w:afterAutospacing="1" w:line="240" w:lineRule="auto"/>
        <w:rPr>
          <w:rFonts w:ascii="Times New Roman" w:eastAsia="Times New Roman" w:hAnsi="Times New Roman" w:cs="Times New Roman"/>
          <w:sz w:val="24"/>
          <w:szCs w:val="24"/>
          <w:lang w:eastAsia="it-IT"/>
        </w:rPr>
      </w:pPr>
      <w:hyperlink r:id="rId20" w:anchor="_ftnref2" w:tooltip="" w:history="1">
        <w:r w:rsidRPr="0001342E">
          <w:rPr>
            <w:rFonts w:ascii="Times New Roman" w:eastAsia="Times New Roman" w:hAnsi="Times New Roman" w:cs="Times New Roman"/>
            <w:color w:val="0000FF"/>
            <w:sz w:val="24"/>
            <w:szCs w:val="24"/>
            <w:u w:val="single"/>
            <w:lang w:eastAsia="it-IT"/>
          </w:rPr>
          <w:t>[2]</w:t>
        </w:r>
      </w:hyperlink>
      <w:r w:rsidRPr="0001342E">
        <w:rPr>
          <w:rFonts w:ascii="Times New Roman" w:eastAsia="Times New Roman" w:hAnsi="Times New Roman" w:cs="Times New Roman"/>
          <w:sz w:val="24"/>
          <w:szCs w:val="24"/>
          <w:lang w:eastAsia="it-IT"/>
        </w:rPr>
        <w:t xml:space="preserve"> Secondo quanto precisato nella circolare Agenzia Entrate n. 9/E del 24/4/13, la mancata redazione del rendiconto di raccolta fondi è sanzionabile con la sanzione amministrativa, da euro 1.032 ad euro 7.746, prevista in materia di violazioni degli obblighi relativi alla contabilità (ai sensi dell’articolo 9, comma 1, del decreto legislativo 18 dicembre 1997, n. 471), ma non è causa di fuoriuscita dal regime. In caso di impossibilità di ricostruzione dei dati, attraverso la contabilità, relativi agli eventi, i proventi ad essi relativi verranno considerati di natura commerciale.</w:t>
      </w:r>
    </w:p>
    <w:p w:rsidR="007B7DF8" w:rsidRDefault="007B7DF8">
      <w:bookmarkStart w:id="0" w:name="_GoBack"/>
      <w:bookmarkEnd w:id="0"/>
    </w:p>
    <w:sectPr w:rsidR="007B7D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1B4"/>
    <w:multiLevelType w:val="multilevel"/>
    <w:tmpl w:val="06F2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E49F2"/>
    <w:multiLevelType w:val="multilevel"/>
    <w:tmpl w:val="1E2A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1358C"/>
    <w:multiLevelType w:val="multilevel"/>
    <w:tmpl w:val="173C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E4CD2"/>
    <w:multiLevelType w:val="multilevel"/>
    <w:tmpl w:val="94F2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95B93"/>
    <w:multiLevelType w:val="multilevel"/>
    <w:tmpl w:val="C4F0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26C53"/>
    <w:multiLevelType w:val="multilevel"/>
    <w:tmpl w:val="FEF0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500FCD"/>
    <w:multiLevelType w:val="multilevel"/>
    <w:tmpl w:val="C092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B4639E"/>
    <w:multiLevelType w:val="multilevel"/>
    <w:tmpl w:val="FD5C7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42540"/>
    <w:multiLevelType w:val="multilevel"/>
    <w:tmpl w:val="605C1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670A9"/>
    <w:multiLevelType w:val="multilevel"/>
    <w:tmpl w:val="A45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6"/>
  </w:num>
  <w:num w:numId="5">
    <w:abstractNumId w:val="4"/>
  </w:num>
  <w:num w:numId="6">
    <w:abstractNumId w:val="2"/>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39"/>
    <w:rsid w:val="0001342E"/>
    <w:rsid w:val="00674239"/>
    <w:rsid w:val="007B7DF8"/>
    <w:rsid w:val="00B60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34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3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34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3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8240">
      <w:bodyDiv w:val="1"/>
      <w:marLeft w:val="0"/>
      <w:marRight w:val="0"/>
      <w:marTop w:val="0"/>
      <w:marBottom w:val="0"/>
      <w:divBdr>
        <w:top w:val="none" w:sz="0" w:space="0" w:color="auto"/>
        <w:left w:val="none" w:sz="0" w:space="0" w:color="auto"/>
        <w:bottom w:val="none" w:sz="0" w:space="0" w:color="auto"/>
        <w:right w:val="none" w:sz="0" w:space="0" w:color="auto"/>
      </w:divBdr>
      <w:divsChild>
        <w:div w:id="840045831">
          <w:marLeft w:val="0"/>
          <w:marRight w:val="0"/>
          <w:marTop w:val="0"/>
          <w:marBottom w:val="0"/>
          <w:divBdr>
            <w:top w:val="none" w:sz="0" w:space="0" w:color="auto"/>
            <w:left w:val="none" w:sz="0" w:space="0" w:color="auto"/>
            <w:bottom w:val="none" w:sz="0" w:space="0" w:color="auto"/>
            <w:right w:val="none" w:sz="0" w:space="0" w:color="auto"/>
          </w:divBdr>
          <w:divsChild>
            <w:div w:id="907156396">
              <w:marLeft w:val="0"/>
              <w:marRight w:val="0"/>
              <w:marTop w:val="0"/>
              <w:marBottom w:val="0"/>
              <w:divBdr>
                <w:top w:val="none" w:sz="0" w:space="0" w:color="auto"/>
                <w:left w:val="none" w:sz="0" w:space="0" w:color="auto"/>
                <w:bottom w:val="none" w:sz="0" w:space="0" w:color="auto"/>
                <w:right w:val="none" w:sz="0" w:space="0" w:color="auto"/>
              </w:divBdr>
              <w:divsChild>
                <w:div w:id="881478382">
                  <w:marLeft w:val="0"/>
                  <w:marRight w:val="0"/>
                  <w:marTop w:val="0"/>
                  <w:marBottom w:val="0"/>
                  <w:divBdr>
                    <w:top w:val="none" w:sz="0" w:space="0" w:color="auto"/>
                    <w:left w:val="none" w:sz="0" w:space="0" w:color="auto"/>
                    <w:bottom w:val="none" w:sz="0" w:space="0" w:color="auto"/>
                    <w:right w:val="none" w:sz="0" w:space="0" w:color="auto"/>
                  </w:divBdr>
                  <w:divsChild>
                    <w:div w:id="441532118">
                      <w:marLeft w:val="0"/>
                      <w:marRight w:val="0"/>
                      <w:marTop w:val="0"/>
                      <w:marBottom w:val="0"/>
                      <w:divBdr>
                        <w:top w:val="none" w:sz="0" w:space="0" w:color="auto"/>
                        <w:left w:val="none" w:sz="0" w:space="0" w:color="auto"/>
                        <w:bottom w:val="none" w:sz="0" w:space="0" w:color="auto"/>
                        <w:right w:val="none" w:sz="0" w:space="0" w:color="auto"/>
                      </w:divBdr>
                      <w:divsChild>
                        <w:div w:id="460001018">
                          <w:marLeft w:val="0"/>
                          <w:marRight w:val="0"/>
                          <w:marTop w:val="0"/>
                          <w:marBottom w:val="0"/>
                          <w:divBdr>
                            <w:top w:val="none" w:sz="0" w:space="0" w:color="auto"/>
                            <w:left w:val="none" w:sz="0" w:space="0" w:color="auto"/>
                            <w:bottom w:val="none" w:sz="0" w:space="0" w:color="auto"/>
                            <w:right w:val="none" w:sz="0" w:space="0" w:color="auto"/>
                          </w:divBdr>
                          <w:divsChild>
                            <w:div w:id="881207026">
                              <w:marLeft w:val="0"/>
                              <w:marRight w:val="0"/>
                              <w:marTop w:val="0"/>
                              <w:marBottom w:val="0"/>
                              <w:divBdr>
                                <w:top w:val="none" w:sz="0" w:space="0" w:color="auto"/>
                                <w:left w:val="none" w:sz="0" w:space="0" w:color="auto"/>
                                <w:bottom w:val="none" w:sz="0" w:space="0" w:color="auto"/>
                                <w:right w:val="none" w:sz="0" w:space="0" w:color="auto"/>
                              </w:divBdr>
                              <w:divsChild>
                                <w:div w:id="2025327857">
                                  <w:marLeft w:val="0"/>
                                  <w:marRight w:val="0"/>
                                  <w:marTop w:val="0"/>
                                  <w:marBottom w:val="0"/>
                                  <w:divBdr>
                                    <w:top w:val="none" w:sz="0" w:space="0" w:color="auto"/>
                                    <w:left w:val="none" w:sz="0" w:space="0" w:color="auto"/>
                                    <w:bottom w:val="none" w:sz="0" w:space="0" w:color="auto"/>
                                    <w:right w:val="none" w:sz="0" w:space="0" w:color="auto"/>
                                  </w:divBdr>
                                </w:div>
                                <w:div w:id="982586231">
                                  <w:marLeft w:val="0"/>
                                  <w:marRight w:val="0"/>
                                  <w:marTop w:val="0"/>
                                  <w:marBottom w:val="0"/>
                                  <w:divBdr>
                                    <w:top w:val="none" w:sz="0" w:space="0" w:color="auto"/>
                                    <w:left w:val="none" w:sz="0" w:space="0" w:color="auto"/>
                                    <w:bottom w:val="none" w:sz="0" w:space="0" w:color="auto"/>
                                    <w:right w:val="none" w:sz="0" w:space="0" w:color="auto"/>
                                  </w:divBdr>
                                </w:div>
                                <w:div w:id="927662493">
                                  <w:marLeft w:val="0"/>
                                  <w:marRight w:val="0"/>
                                  <w:marTop w:val="0"/>
                                  <w:marBottom w:val="0"/>
                                  <w:divBdr>
                                    <w:top w:val="none" w:sz="0" w:space="0" w:color="auto"/>
                                    <w:left w:val="none" w:sz="0" w:space="0" w:color="auto"/>
                                    <w:bottom w:val="none" w:sz="0" w:space="0" w:color="auto"/>
                                    <w:right w:val="none" w:sz="0" w:space="0" w:color="auto"/>
                                  </w:divBdr>
                                </w:div>
                                <w:div w:id="2102946623">
                                  <w:marLeft w:val="0"/>
                                  <w:marRight w:val="0"/>
                                  <w:marTop w:val="0"/>
                                  <w:marBottom w:val="0"/>
                                  <w:divBdr>
                                    <w:top w:val="none" w:sz="0" w:space="0" w:color="auto"/>
                                    <w:left w:val="none" w:sz="0" w:space="0" w:color="auto"/>
                                    <w:bottom w:val="none" w:sz="0" w:space="0" w:color="auto"/>
                                    <w:right w:val="none" w:sz="0" w:space="0" w:color="auto"/>
                                  </w:divBdr>
                                </w:div>
                                <w:div w:id="1743944619">
                                  <w:marLeft w:val="0"/>
                                  <w:marRight w:val="0"/>
                                  <w:marTop w:val="0"/>
                                  <w:marBottom w:val="0"/>
                                  <w:divBdr>
                                    <w:top w:val="none" w:sz="0" w:space="0" w:color="auto"/>
                                    <w:left w:val="none" w:sz="0" w:space="0" w:color="auto"/>
                                    <w:bottom w:val="none" w:sz="0" w:space="0" w:color="auto"/>
                                    <w:right w:val="none" w:sz="0" w:space="0" w:color="auto"/>
                                  </w:divBdr>
                                </w:div>
                                <w:div w:id="1774395857">
                                  <w:marLeft w:val="0"/>
                                  <w:marRight w:val="0"/>
                                  <w:marTop w:val="0"/>
                                  <w:marBottom w:val="0"/>
                                  <w:divBdr>
                                    <w:top w:val="none" w:sz="0" w:space="0" w:color="auto"/>
                                    <w:left w:val="none" w:sz="0" w:space="0" w:color="auto"/>
                                    <w:bottom w:val="none" w:sz="0" w:space="0" w:color="auto"/>
                                    <w:right w:val="none" w:sz="0" w:space="0" w:color="auto"/>
                                  </w:divBdr>
                                </w:div>
                                <w:div w:id="128522523">
                                  <w:marLeft w:val="0"/>
                                  <w:marRight w:val="0"/>
                                  <w:marTop w:val="0"/>
                                  <w:marBottom w:val="0"/>
                                  <w:divBdr>
                                    <w:top w:val="none" w:sz="0" w:space="0" w:color="auto"/>
                                    <w:left w:val="none" w:sz="0" w:space="0" w:color="auto"/>
                                    <w:bottom w:val="none" w:sz="0" w:space="0" w:color="auto"/>
                                    <w:right w:val="none" w:sz="0" w:space="0" w:color="auto"/>
                                  </w:divBdr>
                                  <w:divsChild>
                                    <w:div w:id="1537698412">
                                      <w:marLeft w:val="0"/>
                                      <w:marRight w:val="0"/>
                                      <w:marTop w:val="0"/>
                                      <w:marBottom w:val="0"/>
                                      <w:divBdr>
                                        <w:top w:val="none" w:sz="0" w:space="0" w:color="auto"/>
                                        <w:left w:val="none" w:sz="0" w:space="0" w:color="auto"/>
                                        <w:bottom w:val="none" w:sz="0" w:space="0" w:color="auto"/>
                                        <w:right w:val="none" w:sz="0" w:space="0" w:color="auto"/>
                                      </w:divBdr>
                                    </w:div>
                                    <w:div w:id="15157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nprofitoggi.it/wp-content/uploads/2013/06/irap.png"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onprofitoggi.it/category/amministrazione-fisco/" TargetMode="External"/><Relationship Id="rId12" Type="http://schemas.openxmlformats.org/officeDocument/2006/relationships/hyperlink" Target="file:///C:\Documents%20and%20Settings\Manila.PC-MANILA\Documenti\Dropbox\PORTALE%20NON%20PROFIT%20OGGI\Articoli%20Portale%20Non%20Profit%20Oggi\Amministrazione%20e%20fisco\Il%20regime%20398_91.docx" TargetMode="External"/><Relationship Id="rId17" Type="http://schemas.openxmlformats.org/officeDocument/2006/relationships/hyperlink" Target="http://www.nonprofitoggi.it/wp-content/uploads/2013/06/uscita.pn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file:///C:\Documents%20and%20Settings\Manila.PC-MANILA\Documenti\Dropbox\PORTALE%20NON%20PROFIT%20OGGI\Articoli%20Portale%20Non%20Profit%20Oggi\Amministrazione%20e%20fisco\Il%20regime%20398_91.docx" TargetMode="External"/><Relationship Id="rId1" Type="http://schemas.openxmlformats.org/officeDocument/2006/relationships/numbering" Target="numbering.xml"/><Relationship Id="rId6" Type="http://schemas.openxmlformats.org/officeDocument/2006/relationships/hyperlink" Target="http://www.nonprofitoggi.it/author/mantomarioni/" TargetMode="External"/><Relationship Id="rId11" Type="http://schemas.openxmlformats.org/officeDocument/2006/relationships/hyperlink" Target="file:///C:\Documents%20and%20Settings\Manila.PC-MANILA\Documenti\Dropbox\PORTALE%20NON%20PROFIT%20OGGI\Articoli%20Portale%20Non%20Profit%20Oggi\Amministrazione%20e%20fisco\Il%20regime%20398_91.docx" TargetMode="External"/><Relationship Id="rId5" Type="http://schemas.openxmlformats.org/officeDocument/2006/relationships/webSettings" Target="webSettings.xml"/><Relationship Id="rId15" Type="http://schemas.openxmlformats.org/officeDocument/2006/relationships/hyperlink" Target="http://www.nonprofitoggi.it/wp-content/uploads/2013/06/adempimenti.png" TargetMode="External"/><Relationship Id="rId10" Type="http://schemas.openxmlformats.org/officeDocument/2006/relationships/image" Target="media/image2.png"/><Relationship Id="rId19" Type="http://schemas.openxmlformats.org/officeDocument/2006/relationships/hyperlink" Target="file:///C:\Documents%20and%20Settings\Manila.PC-MANILA\Documenti\Dropbox\PORTALE%20NON%20PROFIT%20OGGI\Articoli%20Portale%20Non%20Profit%20Oggi\Amministrazione%20e%20fisco\Il%20regime%20398_91.docx" TargetMode="External"/><Relationship Id="rId4" Type="http://schemas.openxmlformats.org/officeDocument/2006/relationships/settings" Target="settings.xml"/><Relationship Id="rId9" Type="http://schemas.openxmlformats.org/officeDocument/2006/relationships/hyperlink" Target="http://www.nonprofitoggi.it/wp-content/uploads/2013/06/iva.png"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1462</Words>
  <Characters>8336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Guardia di Finanza</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Bella Massimo - APP.SC</dc:creator>
  <cp:keywords/>
  <dc:description/>
  <cp:lastModifiedBy>Di Bella Massimo - APP.SC</cp:lastModifiedBy>
  <cp:revision>3</cp:revision>
  <dcterms:created xsi:type="dcterms:W3CDTF">2015-11-16T09:35:00Z</dcterms:created>
  <dcterms:modified xsi:type="dcterms:W3CDTF">2015-11-16T10:46:00Z</dcterms:modified>
</cp:coreProperties>
</file>